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8E4D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037E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Số</w:t>
            </w:r>
            <w:r w:rsidR="0094610E">
              <w:rPr>
                <w:sz w:val="26"/>
                <w:szCs w:val="26"/>
              </w:rPr>
              <w:t>: 473</w:t>
            </w:r>
            <w:r>
              <w:rPr>
                <w:sz w:val="26"/>
                <w:szCs w:val="26"/>
              </w:rPr>
              <w:t>/KSBT</w:t>
            </w:r>
          </w:p>
          <w:p w:rsidR="00F3226D" w:rsidRDefault="00F3226D" w:rsidP="00F3226D">
            <w:pPr>
              <w:tabs>
                <w:tab w:val="left" w:pos="2870"/>
              </w:tabs>
              <w:spacing w:after="0"/>
              <w:jc w:val="center"/>
              <w:rPr>
                <w:sz w:val="26"/>
                <w:szCs w:val="26"/>
              </w:rPr>
            </w:pPr>
            <w:r>
              <w:rPr>
                <w:sz w:val="26"/>
                <w:szCs w:val="26"/>
              </w:rPr>
              <w:t xml:space="preserve">V/v yêu cầu báo giá </w:t>
            </w:r>
            <w:r w:rsidR="00183174">
              <w:rPr>
                <w:sz w:val="26"/>
                <w:szCs w:val="26"/>
              </w:rPr>
              <w:t>sinh phẩm xét nghiệm</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652E9A">
            <w:pPr>
              <w:spacing w:after="0" w:line="240" w:lineRule="auto"/>
              <w:jc w:val="center"/>
              <w:rPr>
                <w:rFonts w:eastAsia="Times New Roman" w:cs="Times New Roman"/>
                <w:i/>
                <w:szCs w:val="24"/>
              </w:rPr>
            </w:pPr>
            <w:r w:rsidRPr="00F43F98">
              <w:rPr>
                <w:i/>
                <w:sz w:val="26"/>
                <w:szCs w:val="26"/>
              </w:rPr>
              <w:t xml:space="preserve">Thừa Thiên Huế, ngày </w:t>
            </w:r>
            <w:r w:rsidR="0094610E">
              <w:rPr>
                <w:i/>
                <w:sz w:val="26"/>
                <w:szCs w:val="26"/>
              </w:rPr>
              <w:t xml:space="preserve"> 03</w:t>
            </w:r>
            <w:r w:rsidRPr="00F43F98">
              <w:rPr>
                <w:i/>
                <w:sz w:val="26"/>
                <w:szCs w:val="26"/>
              </w:rPr>
              <w:t xml:space="preserve">  tháng </w:t>
            </w:r>
            <w:r w:rsidR="00652E9A">
              <w:rPr>
                <w:i/>
                <w:sz w:val="26"/>
                <w:szCs w:val="26"/>
              </w:rPr>
              <w:t>5</w:t>
            </w:r>
            <w:r w:rsidRPr="00F43F98">
              <w:rPr>
                <w:i/>
                <w:sz w:val="26"/>
                <w:szCs w:val="26"/>
              </w:rPr>
              <w:t xml:space="preserve"> năm 202</w:t>
            </w:r>
            <w:r w:rsidR="00347156">
              <w:rPr>
                <w:i/>
                <w:sz w:val="26"/>
                <w:szCs w:val="26"/>
              </w:rPr>
              <w:t>4</w:t>
            </w:r>
          </w:p>
        </w:tc>
      </w:tr>
    </w:tbl>
    <w:p w:rsidR="00EE6AC0" w:rsidRPr="00347156" w:rsidRDefault="00EE6AC0" w:rsidP="00EE6AC0">
      <w:pPr>
        <w:spacing w:before="120" w:after="280" w:afterAutospacing="1"/>
        <w:jc w:val="center"/>
        <w:rPr>
          <w:sz w:val="26"/>
          <w:szCs w:val="26"/>
        </w:rPr>
      </w:pPr>
      <w:r w:rsidRPr="00347156">
        <w:rPr>
          <w:b/>
          <w:bCs/>
          <w:sz w:val="26"/>
          <w:szCs w:val="26"/>
        </w:rPr>
        <w:t>YÊU CẦU BÁO GIÁ</w:t>
      </w:r>
    </w:p>
    <w:p w:rsidR="00EE6AC0" w:rsidRPr="0094610E" w:rsidRDefault="00EE6AC0" w:rsidP="00EE6AC0">
      <w:pPr>
        <w:spacing w:before="120" w:after="280" w:afterAutospacing="1"/>
        <w:jc w:val="center"/>
        <w:rPr>
          <w:sz w:val="26"/>
          <w:szCs w:val="26"/>
        </w:rPr>
      </w:pPr>
      <w:r w:rsidRPr="0094610E">
        <w:rPr>
          <w:bCs/>
          <w:sz w:val="26"/>
          <w:szCs w:val="26"/>
        </w:rPr>
        <w:t xml:space="preserve">Kính gửi: Các </w:t>
      </w:r>
      <w:r w:rsidR="0046278A" w:rsidRPr="0094610E">
        <w:rPr>
          <w:bCs/>
          <w:sz w:val="26"/>
          <w:szCs w:val="26"/>
        </w:rPr>
        <w:t>công ty có năng lực</w:t>
      </w:r>
    </w:p>
    <w:p w:rsidR="00EE6AC0" w:rsidRPr="00183174" w:rsidRDefault="00EE6AC0" w:rsidP="00CF52FD">
      <w:pPr>
        <w:spacing w:before="60" w:after="60" w:line="240" w:lineRule="auto"/>
        <w:ind w:firstLine="720"/>
        <w:jc w:val="both"/>
        <w:rPr>
          <w:i/>
          <w:sz w:val="26"/>
          <w:szCs w:val="26"/>
        </w:rPr>
      </w:pPr>
      <w:r w:rsidRPr="00183174">
        <w:rPr>
          <w:sz w:val="26"/>
          <w:szCs w:val="26"/>
        </w:rPr>
        <w:t>Trung tâm Kiểm soát bệnh tật có nhu cầu tiếp nhận báo giá</w:t>
      </w:r>
      <w:r w:rsidR="00183174" w:rsidRPr="00183174">
        <w:rPr>
          <w:sz w:val="26"/>
          <w:szCs w:val="26"/>
        </w:rPr>
        <w:t xml:space="preserve"> một</w:t>
      </w:r>
      <w:r w:rsidRPr="00183174">
        <w:rPr>
          <w:sz w:val="26"/>
          <w:szCs w:val="26"/>
        </w:rPr>
        <w:t xml:space="preserve"> </w:t>
      </w:r>
      <w:r w:rsidR="00183174" w:rsidRPr="00183174">
        <w:rPr>
          <w:color w:val="000000"/>
          <w:sz w:val="26"/>
          <w:szCs w:val="26"/>
        </w:rPr>
        <w:t>số sinh phẩm phục vụ công tác khám sức khỏe, khám Bệnh Nghề Nghiệp và dịch vụ</w:t>
      </w:r>
      <w:r w:rsidR="0046278A" w:rsidRPr="00183174">
        <w:rPr>
          <w:sz w:val="26"/>
          <w:szCs w:val="26"/>
        </w:rPr>
        <w:t xml:space="preserve"> của đơn vị trong năm 2024</w:t>
      </w:r>
      <w:r w:rsidR="00347156" w:rsidRPr="00183174">
        <w:rPr>
          <w:i/>
          <w:sz w:val="26"/>
          <w:szCs w:val="26"/>
          <w:lang w:val="es-ES"/>
        </w:rPr>
        <w:t>.</w:t>
      </w:r>
    </w:p>
    <w:p w:rsidR="00EE6AC0" w:rsidRPr="00347156" w:rsidRDefault="00EE6AC0" w:rsidP="00CF52FD">
      <w:pPr>
        <w:spacing w:before="60" w:after="60" w:line="240" w:lineRule="auto"/>
        <w:jc w:val="both"/>
        <w:rPr>
          <w:sz w:val="26"/>
          <w:szCs w:val="26"/>
        </w:rPr>
      </w:pPr>
      <w:r w:rsidRPr="00347156">
        <w:rPr>
          <w:b/>
          <w:bCs/>
          <w:sz w:val="26"/>
          <w:szCs w:val="26"/>
        </w:rPr>
        <w:t>I. Thông tin của đơn vị yêu cầu báo giá</w:t>
      </w:r>
    </w:p>
    <w:p w:rsidR="00D63B0F" w:rsidRPr="00347156" w:rsidRDefault="00EE6AC0" w:rsidP="00CF52FD">
      <w:pPr>
        <w:spacing w:before="60" w:after="60" w:line="240" w:lineRule="auto"/>
        <w:jc w:val="both"/>
        <w:rPr>
          <w:b/>
          <w:sz w:val="26"/>
          <w:szCs w:val="26"/>
        </w:rPr>
      </w:pPr>
      <w:r w:rsidRPr="00347156">
        <w:rPr>
          <w:i/>
          <w:sz w:val="26"/>
          <w:szCs w:val="26"/>
        </w:rPr>
        <w:t>1. Đơn vị yêu cầu báo giá:</w:t>
      </w:r>
      <w:r w:rsidRPr="00347156">
        <w:rPr>
          <w:sz w:val="26"/>
          <w:szCs w:val="26"/>
        </w:rPr>
        <w:t xml:space="preserve"> </w:t>
      </w:r>
      <w:r w:rsidR="00D63B0F" w:rsidRPr="00347156">
        <w:rPr>
          <w:b/>
          <w:sz w:val="26"/>
          <w:szCs w:val="26"/>
        </w:rPr>
        <w:t>Trung tâm Kiểm soát bệnh tật  tỉnh Thừa Thiên Huế</w:t>
      </w:r>
    </w:p>
    <w:p w:rsidR="00D63B0F" w:rsidRPr="00347156" w:rsidRDefault="00D63B0F" w:rsidP="00CF52FD">
      <w:pPr>
        <w:spacing w:before="60" w:after="60" w:line="240" w:lineRule="auto"/>
        <w:jc w:val="both"/>
        <w:rPr>
          <w:sz w:val="26"/>
          <w:szCs w:val="26"/>
        </w:rPr>
      </w:pPr>
      <w:r w:rsidRPr="00347156">
        <w:rPr>
          <w:sz w:val="26"/>
          <w:szCs w:val="26"/>
        </w:rPr>
        <w:t>10-12 Nguyễn Văn Cừ, phường Vĩnh Ninh, Thành phố Huế, tỉnh Thừa Thiên Huế.</w:t>
      </w:r>
    </w:p>
    <w:p w:rsidR="00D63B0F" w:rsidRPr="00347156" w:rsidRDefault="00EE6AC0" w:rsidP="00CF52FD">
      <w:pPr>
        <w:spacing w:before="60" w:after="60" w:line="240" w:lineRule="auto"/>
        <w:jc w:val="both"/>
        <w:rPr>
          <w:i/>
          <w:sz w:val="26"/>
          <w:szCs w:val="26"/>
        </w:rPr>
      </w:pPr>
      <w:r w:rsidRPr="00347156">
        <w:rPr>
          <w:i/>
          <w:sz w:val="26"/>
          <w:szCs w:val="26"/>
        </w:rPr>
        <w:t>2. Thông tin liên hệ của người chịu trách nhiệm tiếp nhận báo giá:</w:t>
      </w:r>
      <w:r w:rsidR="00D63B0F" w:rsidRPr="00347156">
        <w:rPr>
          <w:i/>
          <w:sz w:val="26"/>
          <w:szCs w:val="26"/>
        </w:rPr>
        <w:t xml:space="preserve"> </w:t>
      </w:r>
    </w:p>
    <w:p w:rsidR="00D63B0F" w:rsidRPr="00183174" w:rsidRDefault="0046278A" w:rsidP="00CF52FD">
      <w:pPr>
        <w:spacing w:before="60" w:after="60" w:line="240" w:lineRule="auto"/>
        <w:jc w:val="both"/>
        <w:rPr>
          <w:b/>
          <w:sz w:val="26"/>
          <w:szCs w:val="26"/>
        </w:rPr>
      </w:pPr>
      <w:r>
        <w:rPr>
          <w:b/>
          <w:sz w:val="26"/>
          <w:szCs w:val="26"/>
        </w:rPr>
        <w:t>Vũ Lê Thanh Hà</w:t>
      </w:r>
      <w:r w:rsidR="00183174">
        <w:rPr>
          <w:b/>
          <w:sz w:val="26"/>
          <w:szCs w:val="26"/>
        </w:rPr>
        <w:tab/>
      </w:r>
      <w:r w:rsidR="00D63B0F" w:rsidRPr="00347156">
        <w:rPr>
          <w:sz w:val="26"/>
          <w:szCs w:val="26"/>
        </w:rPr>
        <w:t xml:space="preserve">SĐT: </w:t>
      </w:r>
      <w:r>
        <w:rPr>
          <w:sz w:val="26"/>
          <w:szCs w:val="26"/>
        </w:rPr>
        <w:t>0397261020</w:t>
      </w:r>
    </w:p>
    <w:p w:rsidR="00D63B0F" w:rsidRPr="00347156" w:rsidRDefault="00D63B0F" w:rsidP="00CF52FD">
      <w:pPr>
        <w:spacing w:before="60" w:after="60" w:line="240" w:lineRule="auto"/>
        <w:jc w:val="both"/>
        <w:rPr>
          <w:sz w:val="26"/>
          <w:szCs w:val="26"/>
        </w:rPr>
      </w:pPr>
      <w:r w:rsidRPr="00347156">
        <w:rPr>
          <w:sz w:val="26"/>
          <w:szCs w:val="26"/>
        </w:rPr>
        <w:t xml:space="preserve">Chức vụ: </w:t>
      </w:r>
      <w:r w:rsidR="0046278A">
        <w:rPr>
          <w:sz w:val="26"/>
          <w:szCs w:val="26"/>
        </w:rPr>
        <w:t>Nhân viên</w:t>
      </w:r>
      <w:r w:rsidRPr="00347156">
        <w:rPr>
          <w:sz w:val="26"/>
          <w:szCs w:val="26"/>
        </w:rPr>
        <w:t xml:space="preserve"> phòng Kế hoạch - Tài chính</w:t>
      </w:r>
    </w:p>
    <w:p w:rsidR="00D63B0F" w:rsidRPr="00347156" w:rsidRDefault="00D63B0F" w:rsidP="00CF52FD">
      <w:pPr>
        <w:spacing w:before="60" w:after="60" w:line="240" w:lineRule="auto"/>
        <w:jc w:val="both"/>
        <w:rPr>
          <w:sz w:val="26"/>
          <w:szCs w:val="26"/>
        </w:rPr>
      </w:pPr>
      <w:r w:rsidRPr="00347156">
        <w:rPr>
          <w:sz w:val="26"/>
          <w:szCs w:val="26"/>
        </w:rPr>
        <w:t xml:space="preserve">Email: </w:t>
      </w:r>
      <w:r w:rsidR="0046278A">
        <w:rPr>
          <w:sz w:val="26"/>
          <w:szCs w:val="26"/>
        </w:rPr>
        <w:t>vulethanhha0394</w:t>
      </w:r>
      <w:r w:rsidRPr="00347156">
        <w:rPr>
          <w:sz w:val="26"/>
          <w:szCs w:val="26"/>
        </w:rPr>
        <w:t>@gmail.com</w:t>
      </w:r>
    </w:p>
    <w:p w:rsidR="00EE6AC0" w:rsidRPr="00347156" w:rsidRDefault="00EE6AC0" w:rsidP="00CF52FD">
      <w:pPr>
        <w:spacing w:before="60" w:after="60" w:line="240" w:lineRule="auto"/>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CF52FD">
      <w:pPr>
        <w:spacing w:before="60" w:after="60" w:line="240" w:lineRule="auto"/>
        <w:jc w:val="both"/>
        <w:rPr>
          <w:b/>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Trung tâm Kiểm soát bệnh tật  tỉnh Thừa Thiên Huế</w:t>
      </w:r>
    </w:p>
    <w:p w:rsidR="00D63B0F" w:rsidRPr="00347156" w:rsidRDefault="00D63B0F" w:rsidP="00CF52FD">
      <w:pPr>
        <w:spacing w:before="60" w:after="60" w:line="240" w:lineRule="auto"/>
        <w:jc w:val="both"/>
        <w:rPr>
          <w:sz w:val="26"/>
          <w:szCs w:val="26"/>
        </w:rPr>
      </w:pPr>
      <w:r w:rsidRPr="00347156">
        <w:rPr>
          <w:sz w:val="26"/>
          <w:szCs w:val="26"/>
        </w:rPr>
        <w:t>10-12 Nguyễn Văn Cừ, phường Vĩnh Ninh, Thành phố Huế, tỉnh Thừa Thiên Huế.</w:t>
      </w:r>
    </w:p>
    <w:p w:rsidR="00EE6AC0" w:rsidRPr="00347156" w:rsidRDefault="00EE6AC0" w:rsidP="00CF52FD">
      <w:pPr>
        <w:spacing w:before="60" w:after="60" w:line="240" w:lineRule="auto"/>
        <w:jc w:val="both"/>
        <w:rPr>
          <w:sz w:val="26"/>
          <w:szCs w:val="26"/>
        </w:rPr>
      </w:pPr>
      <w:r w:rsidRPr="00347156">
        <w:rPr>
          <w:i/>
          <w:sz w:val="26"/>
          <w:szCs w:val="26"/>
        </w:rPr>
        <w:t>4. Thời hạn tiếp nhận báo giá:</w:t>
      </w:r>
      <w:r w:rsidRPr="00347156">
        <w:rPr>
          <w:sz w:val="26"/>
          <w:szCs w:val="26"/>
        </w:rPr>
        <w:t xml:space="preserve"> Từ </w:t>
      </w:r>
      <w:r w:rsidR="00243A17">
        <w:rPr>
          <w:sz w:val="26"/>
          <w:szCs w:val="26"/>
        </w:rPr>
        <w:t>15</w:t>
      </w:r>
      <w:r w:rsidRPr="00347156">
        <w:rPr>
          <w:sz w:val="26"/>
          <w:szCs w:val="26"/>
        </w:rPr>
        <w:t>h ng</w:t>
      </w:r>
      <w:r w:rsidR="00D63B0F" w:rsidRPr="00347156">
        <w:rPr>
          <w:sz w:val="26"/>
          <w:szCs w:val="26"/>
        </w:rPr>
        <w:t xml:space="preserve">ày </w:t>
      </w:r>
      <w:r w:rsidR="0046278A">
        <w:rPr>
          <w:sz w:val="26"/>
          <w:szCs w:val="26"/>
        </w:rPr>
        <w:t>0</w:t>
      </w:r>
      <w:r w:rsidR="00243A17">
        <w:rPr>
          <w:sz w:val="26"/>
          <w:szCs w:val="26"/>
        </w:rPr>
        <w:t>3</w:t>
      </w:r>
      <w:r w:rsidR="00D63B0F" w:rsidRPr="00347156">
        <w:rPr>
          <w:sz w:val="26"/>
          <w:szCs w:val="26"/>
        </w:rPr>
        <w:t xml:space="preserve"> </w:t>
      </w:r>
      <w:r w:rsidRPr="00347156">
        <w:rPr>
          <w:sz w:val="26"/>
          <w:szCs w:val="26"/>
        </w:rPr>
        <w:t xml:space="preserve">tháng </w:t>
      </w:r>
      <w:r w:rsidR="00347156">
        <w:rPr>
          <w:sz w:val="26"/>
          <w:szCs w:val="26"/>
        </w:rPr>
        <w:t>0</w:t>
      </w:r>
      <w:r w:rsidR="00243A17">
        <w:rPr>
          <w:sz w:val="26"/>
          <w:szCs w:val="26"/>
        </w:rPr>
        <w:t>5</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 xml:space="preserve">đến trước </w:t>
      </w:r>
      <w:r w:rsidR="0046278A">
        <w:rPr>
          <w:sz w:val="26"/>
          <w:szCs w:val="26"/>
        </w:rPr>
        <w:t>08</w:t>
      </w:r>
      <w:r w:rsidRPr="00347156">
        <w:rPr>
          <w:sz w:val="26"/>
          <w:szCs w:val="26"/>
        </w:rPr>
        <w:t xml:space="preserve">h ngày </w:t>
      </w:r>
      <w:r w:rsidR="00263B4A">
        <w:rPr>
          <w:sz w:val="26"/>
          <w:szCs w:val="26"/>
        </w:rPr>
        <w:t>1</w:t>
      </w:r>
      <w:r w:rsidR="00243A17">
        <w:rPr>
          <w:sz w:val="26"/>
          <w:szCs w:val="26"/>
        </w:rPr>
        <w:t>4</w:t>
      </w:r>
      <w:r w:rsidR="00D63B0F" w:rsidRPr="00347156">
        <w:rPr>
          <w:sz w:val="26"/>
          <w:szCs w:val="26"/>
        </w:rPr>
        <w:t xml:space="preserve"> tháng </w:t>
      </w:r>
      <w:r w:rsidR="00347156">
        <w:rPr>
          <w:sz w:val="26"/>
          <w:szCs w:val="26"/>
        </w:rPr>
        <w:t>0</w:t>
      </w:r>
      <w:r w:rsidR="00243A17">
        <w:rPr>
          <w:sz w:val="26"/>
          <w:szCs w:val="26"/>
        </w:rPr>
        <w:t>5</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E6AC0" w:rsidRPr="00347156" w:rsidRDefault="00EE6AC0" w:rsidP="00CF52FD">
      <w:pPr>
        <w:spacing w:before="60" w:after="60" w:line="240" w:lineRule="auto"/>
        <w:jc w:val="both"/>
        <w:rPr>
          <w:sz w:val="26"/>
          <w:szCs w:val="26"/>
        </w:rPr>
      </w:pPr>
      <w:r w:rsidRPr="00347156">
        <w:rPr>
          <w:sz w:val="26"/>
          <w:szCs w:val="26"/>
        </w:rPr>
        <w:t>Các báo giá nhận được sau thời điểm nêu trên sẽ không được xem xét.</w:t>
      </w:r>
    </w:p>
    <w:p w:rsidR="00843657" w:rsidRDefault="00EE6AC0" w:rsidP="00CF52FD">
      <w:pPr>
        <w:spacing w:before="60" w:after="60" w:line="240" w:lineRule="auto"/>
        <w:jc w:val="both"/>
        <w:rPr>
          <w:i/>
          <w:sz w:val="26"/>
          <w:szCs w:val="26"/>
        </w:rPr>
      </w:pPr>
      <w:r w:rsidRPr="00347156">
        <w:rPr>
          <w:i/>
          <w:sz w:val="26"/>
          <w:szCs w:val="26"/>
        </w:rPr>
        <w:t xml:space="preserve">5. Thời hạn có hiệu lực của báo giá: </w:t>
      </w:r>
      <w:r w:rsidRPr="00347156">
        <w:rPr>
          <w:sz w:val="26"/>
          <w:szCs w:val="26"/>
        </w:rPr>
        <w:t>Tối thiểu</w:t>
      </w:r>
      <w:r w:rsidR="00D63B0F" w:rsidRPr="00347156">
        <w:rPr>
          <w:sz w:val="26"/>
          <w:szCs w:val="26"/>
        </w:rPr>
        <w:t xml:space="preserve"> 90</w:t>
      </w:r>
      <w:r w:rsidR="0081578D" w:rsidRPr="00347156">
        <w:rPr>
          <w:sz w:val="26"/>
          <w:szCs w:val="26"/>
        </w:rPr>
        <w:t xml:space="preserve"> ngày</w:t>
      </w:r>
      <w:r w:rsidRPr="00347156">
        <w:rPr>
          <w:sz w:val="26"/>
          <w:szCs w:val="26"/>
        </w:rPr>
        <w:t>, kể từ</w:t>
      </w:r>
      <w:r w:rsidR="0081578D" w:rsidRPr="00347156">
        <w:rPr>
          <w:sz w:val="26"/>
          <w:szCs w:val="26"/>
        </w:rPr>
        <w:t xml:space="preserve"> ngày </w:t>
      </w:r>
      <w:r w:rsidR="00243A17">
        <w:rPr>
          <w:sz w:val="26"/>
          <w:szCs w:val="26"/>
        </w:rPr>
        <w:t>14</w:t>
      </w:r>
      <w:r w:rsidRPr="00347156">
        <w:rPr>
          <w:sz w:val="26"/>
          <w:szCs w:val="26"/>
        </w:rPr>
        <w:t xml:space="preserve"> tháng</w:t>
      </w:r>
      <w:r w:rsidR="0081578D" w:rsidRPr="00347156">
        <w:rPr>
          <w:sz w:val="26"/>
          <w:szCs w:val="26"/>
        </w:rPr>
        <w:t xml:space="preserve"> </w:t>
      </w:r>
      <w:r w:rsidR="00347156">
        <w:rPr>
          <w:sz w:val="26"/>
          <w:szCs w:val="26"/>
        </w:rPr>
        <w:t>0</w:t>
      </w:r>
      <w:r w:rsidR="00243A17">
        <w:rPr>
          <w:sz w:val="26"/>
          <w:szCs w:val="26"/>
        </w:rPr>
        <w:t>5</w:t>
      </w:r>
      <w:r w:rsidRPr="00347156">
        <w:rPr>
          <w:sz w:val="26"/>
          <w:szCs w:val="26"/>
        </w:rPr>
        <w:t xml:space="preserve"> năm </w:t>
      </w:r>
      <w:r w:rsidR="0081578D" w:rsidRPr="00347156">
        <w:rPr>
          <w:sz w:val="26"/>
          <w:szCs w:val="26"/>
        </w:rPr>
        <w:t>202</w:t>
      </w:r>
      <w:r w:rsidR="00347156">
        <w:rPr>
          <w:sz w:val="26"/>
          <w:szCs w:val="26"/>
        </w:rPr>
        <w:t>4.</w:t>
      </w:r>
      <w:r w:rsidRPr="00347156">
        <w:rPr>
          <w:i/>
          <w:sz w:val="26"/>
          <w:szCs w:val="26"/>
        </w:rPr>
        <w:t xml:space="preserve"> </w:t>
      </w:r>
    </w:p>
    <w:p w:rsidR="0046278A" w:rsidRPr="00347156" w:rsidRDefault="00EE6AC0" w:rsidP="00CF52FD">
      <w:pPr>
        <w:spacing w:before="60" w:after="60" w:line="240" w:lineRule="auto"/>
        <w:jc w:val="both"/>
        <w:rPr>
          <w:sz w:val="26"/>
          <w:szCs w:val="26"/>
        </w:rPr>
      </w:pPr>
      <w:r w:rsidRPr="00347156">
        <w:rPr>
          <w:b/>
          <w:bCs/>
          <w:sz w:val="26"/>
          <w:szCs w:val="26"/>
        </w:rPr>
        <w:t>II. Nội dung yêu cầu báo giá:</w:t>
      </w:r>
      <w:r w:rsidR="00243A17">
        <w:rPr>
          <w:b/>
          <w:bCs/>
          <w:sz w:val="26"/>
          <w:szCs w:val="26"/>
        </w:rPr>
        <w:t xml:space="preserve"> Phụ lục Danh mục mua sắm</w:t>
      </w:r>
    </w:p>
    <w:p w:rsidR="002B0413" w:rsidRPr="00347156" w:rsidRDefault="00243A17" w:rsidP="00CF52FD">
      <w:pPr>
        <w:spacing w:before="60" w:after="60" w:line="240" w:lineRule="auto"/>
        <w:jc w:val="both"/>
        <w:rPr>
          <w:sz w:val="26"/>
          <w:szCs w:val="26"/>
        </w:rPr>
      </w:pPr>
      <w:r>
        <w:rPr>
          <w:sz w:val="26"/>
          <w:szCs w:val="26"/>
        </w:rPr>
        <w:t xml:space="preserve">1. </w:t>
      </w:r>
      <w:r w:rsidR="00177FDE" w:rsidRPr="00347156">
        <w:rPr>
          <w:sz w:val="26"/>
          <w:szCs w:val="26"/>
        </w:rPr>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00177FDE" w:rsidRPr="00347156">
        <w:rPr>
          <w:sz w:val="26"/>
          <w:szCs w:val="26"/>
        </w:rPr>
        <w:t>.</w:t>
      </w:r>
    </w:p>
    <w:p w:rsidR="001F61C4" w:rsidRPr="00347156" w:rsidRDefault="00EE6AC0" w:rsidP="00CF52FD">
      <w:pPr>
        <w:spacing w:before="60" w:after="60" w:line="240" w:lineRule="auto"/>
        <w:jc w:val="both"/>
        <w:rPr>
          <w:b/>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Trung tâm Kiểm soát bệnh tật  tỉnh Thừa Thiên Huế</w:t>
      </w:r>
    </w:p>
    <w:p w:rsidR="001F61C4" w:rsidRPr="00347156" w:rsidRDefault="001F61C4" w:rsidP="00CF52FD">
      <w:pPr>
        <w:spacing w:before="60" w:after="60" w:line="240" w:lineRule="auto"/>
        <w:jc w:val="both"/>
        <w:rPr>
          <w:sz w:val="26"/>
          <w:szCs w:val="26"/>
        </w:rPr>
      </w:pPr>
      <w:r w:rsidRPr="00347156">
        <w:rPr>
          <w:sz w:val="26"/>
          <w:szCs w:val="26"/>
        </w:rPr>
        <w:t>10-12 Nguyễn Văn Cừ, phường Vĩnh Ninh, Thành phố Huế, tỉnh Thừa Thiên Huế.</w:t>
      </w:r>
    </w:p>
    <w:p w:rsidR="00EE6AC0" w:rsidRPr="00347156" w:rsidRDefault="00EE6AC0" w:rsidP="00CF52FD">
      <w:pPr>
        <w:spacing w:before="120" w:after="280" w:afterAutospacing="1" w:line="240" w:lineRule="auto"/>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243A17">
        <w:rPr>
          <w:sz w:val="26"/>
          <w:szCs w:val="26"/>
        </w:rPr>
        <w:t>2</w:t>
      </w:r>
      <w:r w:rsidR="001F61C4" w:rsidRPr="00347156">
        <w:rPr>
          <w:sz w:val="26"/>
          <w:szCs w:val="26"/>
        </w:rPr>
        <w:t>0 ngày kể từ ngày kí hợp đồng./.</w:t>
      </w:r>
    </w:p>
    <w:p w:rsidR="00EE6AC0" w:rsidRPr="00347156" w:rsidRDefault="00EE6AC0" w:rsidP="00CF52FD">
      <w:pPr>
        <w:spacing w:before="120" w:after="280" w:afterAutospacing="1" w:line="240" w:lineRule="auto"/>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p>
    <w:tbl>
      <w:tblPr>
        <w:tblW w:w="0" w:type="auto"/>
        <w:tblLook w:val="01E0" w:firstRow="1" w:lastRow="1" w:firstColumn="1" w:lastColumn="1" w:noHBand="0" w:noVBand="0"/>
      </w:tblPr>
      <w:tblGrid>
        <w:gridCol w:w="3567"/>
        <w:gridCol w:w="5505"/>
      </w:tblGrid>
      <w:tr w:rsidR="002B0413" w:rsidRPr="002B0413" w:rsidTr="00183174">
        <w:trPr>
          <w:trHeight w:val="80"/>
        </w:trPr>
        <w:tc>
          <w:tcPr>
            <w:tcW w:w="3652" w:type="dxa"/>
          </w:tcPr>
          <w:p w:rsidR="002B0413" w:rsidRPr="0094610E" w:rsidRDefault="002B0413" w:rsidP="002B0413">
            <w:pPr>
              <w:spacing w:after="0" w:line="240" w:lineRule="auto"/>
              <w:rPr>
                <w:rFonts w:eastAsia="Times New Roman" w:cs="Times New Roman"/>
                <w:i/>
                <w:szCs w:val="24"/>
                <w:lang w:val="es-ES"/>
              </w:rPr>
            </w:pPr>
            <w:r w:rsidRPr="002B0413">
              <w:rPr>
                <w:rFonts w:eastAsia="Times New Roman" w:cs="Times New Roman"/>
                <w:i/>
                <w:szCs w:val="24"/>
                <w:lang w:val="es-ES"/>
              </w:rPr>
              <w:t xml:space="preserve">  </w:t>
            </w:r>
            <w:r w:rsidRPr="0094610E">
              <w:rPr>
                <w:rFonts w:eastAsia="Times New Roman" w:cs="Times New Roman"/>
                <w:b/>
                <w:i/>
                <w:szCs w:val="24"/>
                <w:lang w:val="es-ES"/>
              </w:rPr>
              <w:t xml:space="preserve">Nơi nhận:                                                                </w:t>
            </w:r>
          </w:p>
          <w:p w:rsidR="002B0413" w:rsidRPr="0094610E" w:rsidRDefault="002B0413" w:rsidP="002B0413">
            <w:pPr>
              <w:spacing w:after="0" w:line="240" w:lineRule="auto"/>
              <w:rPr>
                <w:rFonts w:eastAsia="Times New Roman" w:cs="Times New Roman"/>
                <w:sz w:val="22"/>
                <w:lang w:val="es-ES"/>
              </w:rPr>
            </w:pPr>
            <w:r w:rsidRPr="0094610E">
              <w:rPr>
                <w:rFonts w:eastAsia="Times New Roman" w:cs="Times New Roman"/>
                <w:sz w:val="22"/>
                <w:lang w:val="es-ES"/>
              </w:rPr>
              <w:t xml:space="preserve">- Như </w:t>
            </w:r>
            <w:r w:rsidR="004B2D4D" w:rsidRPr="0094610E">
              <w:rPr>
                <w:rFonts w:eastAsia="Times New Roman" w:cs="Times New Roman"/>
                <w:sz w:val="22"/>
                <w:lang w:val="es-ES"/>
              </w:rPr>
              <w:t>trên</w:t>
            </w:r>
            <w:r w:rsidRPr="0094610E">
              <w:rPr>
                <w:rFonts w:eastAsia="Times New Roman" w:cs="Times New Roman"/>
                <w:sz w:val="22"/>
                <w:lang w:val="es-ES"/>
              </w:rPr>
              <w:t xml:space="preserve">   </w:t>
            </w:r>
          </w:p>
          <w:p w:rsidR="002B0413" w:rsidRPr="00183174" w:rsidRDefault="002B0413" w:rsidP="00183174">
            <w:pPr>
              <w:spacing w:after="0" w:line="240" w:lineRule="auto"/>
              <w:rPr>
                <w:rFonts w:eastAsia="Times New Roman" w:cs="Times New Roman"/>
                <w:sz w:val="20"/>
                <w:szCs w:val="20"/>
                <w:lang w:val="es-ES"/>
              </w:rPr>
            </w:pPr>
            <w:r w:rsidRPr="0094610E">
              <w:rPr>
                <w:rFonts w:eastAsia="Times New Roman" w:cs="Times New Roman"/>
                <w:sz w:val="22"/>
                <w:lang w:val="es-ES"/>
              </w:rPr>
              <w:t>- Lưu VT, KH-TC.</w:t>
            </w:r>
          </w:p>
        </w:tc>
        <w:tc>
          <w:tcPr>
            <w:tcW w:w="5636" w:type="dxa"/>
          </w:tcPr>
          <w:p w:rsidR="002B0413" w:rsidRPr="0094610E" w:rsidRDefault="00347156" w:rsidP="002B0413">
            <w:pPr>
              <w:spacing w:after="0" w:line="240" w:lineRule="auto"/>
              <w:jc w:val="center"/>
              <w:rPr>
                <w:rFonts w:eastAsia="Times New Roman" w:cs="Times New Roman"/>
                <w:b/>
                <w:sz w:val="28"/>
                <w:szCs w:val="28"/>
                <w:lang w:val="es-ES"/>
              </w:rPr>
            </w:pPr>
            <w:r w:rsidRPr="0094610E">
              <w:rPr>
                <w:rFonts w:eastAsia="Times New Roman" w:cs="Times New Roman"/>
                <w:b/>
                <w:sz w:val="28"/>
                <w:szCs w:val="28"/>
                <w:lang w:val="es-ES"/>
              </w:rPr>
              <w:t xml:space="preserve">PHÓ </w:t>
            </w:r>
            <w:r w:rsidR="002B0413" w:rsidRPr="0094610E">
              <w:rPr>
                <w:rFonts w:eastAsia="Times New Roman" w:cs="Times New Roman"/>
                <w:b/>
                <w:sz w:val="28"/>
                <w:szCs w:val="28"/>
                <w:lang w:val="es-ES"/>
              </w:rPr>
              <w:t xml:space="preserve">GIÁM ĐỐC </w:t>
            </w:r>
            <w:r w:rsidRPr="0094610E">
              <w:rPr>
                <w:rFonts w:eastAsia="Times New Roman" w:cs="Times New Roman"/>
                <w:b/>
                <w:sz w:val="28"/>
                <w:szCs w:val="28"/>
                <w:lang w:val="es-ES"/>
              </w:rPr>
              <w:t>PHỤ TRÁCH</w:t>
            </w:r>
          </w:p>
          <w:p w:rsidR="002B0413" w:rsidRDefault="002B0413" w:rsidP="002B0413">
            <w:pPr>
              <w:spacing w:after="0" w:line="240" w:lineRule="auto"/>
              <w:jc w:val="center"/>
              <w:rPr>
                <w:rFonts w:eastAsia="Times New Roman" w:cs="Times New Roman"/>
                <w:b/>
                <w:sz w:val="26"/>
                <w:szCs w:val="24"/>
                <w:lang w:val="es-ES"/>
              </w:rPr>
            </w:pPr>
          </w:p>
          <w:p w:rsidR="00CF52FD" w:rsidRDefault="00CF52FD" w:rsidP="002B0413">
            <w:pPr>
              <w:spacing w:after="0" w:line="240" w:lineRule="auto"/>
              <w:jc w:val="center"/>
              <w:rPr>
                <w:rFonts w:eastAsia="Times New Roman" w:cs="Times New Roman"/>
                <w:b/>
                <w:sz w:val="26"/>
                <w:szCs w:val="24"/>
                <w:lang w:val="es-ES"/>
              </w:rPr>
            </w:pPr>
          </w:p>
          <w:p w:rsidR="00CF52FD" w:rsidRPr="002B0413" w:rsidRDefault="00CF52FD" w:rsidP="002B0413">
            <w:pPr>
              <w:spacing w:after="0" w:line="240" w:lineRule="auto"/>
              <w:jc w:val="center"/>
              <w:rPr>
                <w:rFonts w:eastAsia="Times New Roman" w:cs="Times New Roman"/>
                <w:b/>
                <w:sz w:val="26"/>
                <w:szCs w:val="24"/>
                <w:lang w:val="es-ES"/>
              </w:rPr>
            </w:pPr>
            <w:bookmarkStart w:id="0" w:name="_GoBack"/>
            <w:bookmarkEnd w:id="0"/>
          </w:p>
          <w:p w:rsidR="002B0413" w:rsidRPr="002B0413" w:rsidRDefault="002B0413" w:rsidP="002B0413">
            <w:pPr>
              <w:spacing w:after="0" w:line="240" w:lineRule="auto"/>
              <w:jc w:val="center"/>
              <w:rPr>
                <w:rFonts w:eastAsia="Times New Roman" w:cs="Times New Roman"/>
                <w:b/>
                <w:sz w:val="26"/>
                <w:szCs w:val="24"/>
                <w:lang w:val="es-ES"/>
              </w:rPr>
            </w:pPr>
          </w:p>
          <w:p w:rsidR="002B0413" w:rsidRPr="0094610E" w:rsidRDefault="0094610E" w:rsidP="002B0413">
            <w:pPr>
              <w:spacing w:after="0" w:line="240" w:lineRule="auto"/>
              <w:jc w:val="center"/>
              <w:rPr>
                <w:rFonts w:eastAsia="Times New Roman" w:cs="Times New Roman"/>
                <w:b/>
                <w:sz w:val="28"/>
                <w:szCs w:val="28"/>
                <w:lang w:val="es-ES"/>
              </w:rPr>
            </w:pPr>
            <w:r w:rsidRPr="0094610E">
              <w:rPr>
                <w:rFonts w:eastAsia="Times New Roman" w:cs="Times New Roman"/>
                <w:b/>
                <w:sz w:val="28"/>
                <w:szCs w:val="28"/>
                <w:lang w:val="es-ES"/>
              </w:rPr>
              <w:t>Nguyễn Lê Tâm</w:t>
            </w:r>
          </w:p>
        </w:tc>
      </w:tr>
    </w:tbl>
    <w:p w:rsidR="00B65144" w:rsidRDefault="00B65144" w:rsidP="00B65144">
      <w:pPr>
        <w:spacing w:before="120" w:after="100" w:afterAutospacing="1"/>
        <w:jc w:val="center"/>
        <w:rPr>
          <w:b/>
          <w:sz w:val="28"/>
          <w:szCs w:val="28"/>
        </w:rPr>
        <w:sectPr w:rsidR="00B65144" w:rsidSect="00B65144">
          <w:pgSz w:w="11907" w:h="16840" w:code="9"/>
          <w:pgMar w:top="1134" w:right="1134" w:bottom="1134" w:left="1701" w:header="709" w:footer="709" w:gutter="0"/>
          <w:cols w:space="708"/>
          <w:docGrid w:linePitch="360"/>
        </w:sectPr>
      </w:pPr>
    </w:p>
    <w:p w:rsidR="002B0413" w:rsidRDefault="00183174" w:rsidP="00B65144">
      <w:pPr>
        <w:spacing w:before="120" w:after="100" w:afterAutospacing="1"/>
        <w:jc w:val="center"/>
        <w:rPr>
          <w:b/>
          <w:sz w:val="28"/>
          <w:szCs w:val="28"/>
        </w:rPr>
      </w:pPr>
      <w:r w:rsidRPr="00183174">
        <w:rPr>
          <w:b/>
          <w:sz w:val="28"/>
          <w:szCs w:val="28"/>
        </w:rPr>
        <w:lastRenderedPageBreak/>
        <w:t>PHỤ LỤC: DANH MỤC MUA SẮM</w:t>
      </w:r>
    </w:p>
    <w:p w:rsidR="00183174" w:rsidRDefault="00183174" w:rsidP="00183174">
      <w:pPr>
        <w:spacing w:before="120" w:after="280" w:afterAutospacing="1"/>
        <w:jc w:val="center"/>
        <w:rPr>
          <w:b/>
          <w:sz w:val="28"/>
          <w:szCs w:val="28"/>
        </w:rPr>
      </w:pPr>
      <w:r>
        <w:rPr>
          <w:b/>
          <w:sz w:val="28"/>
          <w:szCs w:val="28"/>
        </w:rPr>
        <w:t>1. Sinh phẩm xét nghiệm, nguồn viện phí</w:t>
      </w:r>
    </w:p>
    <w:tbl>
      <w:tblPr>
        <w:tblStyle w:val="TableGrid"/>
        <w:tblW w:w="5000" w:type="pct"/>
        <w:tblLook w:val="04A0" w:firstRow="1" w:lastRow="0" w:firstColumn="1" w:lastColumn="0" w:noHBand="0" w:noVBand="1"/>
      </w:tblPr>
      <w:tblGrid>
        <w:gridCol w:w="778"/>
        <w:gridCol w:w="8961"/>
        <w:gridCol w:w="1535"/>
        <w:gridCol w:w="1675"/>
        <w:gridCol w:w="1613"/>
      </w:tblGrid>
      <w:tr w:rsidR="00B65144" w:rsidTr="00B65144">
        <w:trPr>
          <w:trHeight w:val="531"/>
        </w:trPr>
        <w:tc>
          <w:tcPr>
            <w:tcW w:w="267"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TT</w:t>
            </w:r>
          </w:p>
        </w:tc>
        <w:tc>
          <w:tcPr>
            <w:tcW w:w="3077"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 xml:space="preserve">Nội dung </w:t>
            </w:r>
          </w:p>
        </w:tc>
        <w:tc>
          <w:tcPr>
            <w:tcW w:w="527"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Quy cách</w:t>
            </w:r>
          </w:p>
        </w:tc>
        <w:tc>
          <w:tcPr>
            <w:tcW w:w="575" w:type="pct"/>
            <w:vAlign w:val="center"/>
          </w:tcPr>
          <w:p w:rsidR="00B65144" w:rsidRPr="00183174" w:rsidRDefault="00B65144" w:rsidP="008742C2">
            <w:pPr>
              <w:jc w:val="center"/>
              <w:rPr>
                <w:rFonts w:cs="Times New Roman"/>
                <w:b/>
                <w:bCs/>
                <w:color w:val="000000"/>
                <w:sz w:val="26"/>
                <w:szCs w:val="26"/>
              </w:rPr>
            </w:pPr>
            <w:r w:rsidRPr="00183174">
              <w:rPr>
                <w:rFonts w:cs="Times New Roman"/>
                <w:b/>
                <w:bCs/>
                <w:color w:val="000000"/>
                <w:sz w:val="26"/>
                <w:szCs w:val="26"/>
              </w:rPr>
              <w:t>ĐVT</w:t>
            </w:r>
          </w:p>
        </w:tc>
        <w:tc>
          <w:tcPr>
            <w:tcW w:w="554" w:type="pct"/>
            <w:vAlign w:val="center"/>
          </w:tcPr>
          <w:p w:rsidR="00B65144" w:rsidRPr="00183174" w:rsidRDefault="00B65144" w:rsidP="008742C2">
            <w:pPr>
              <w:ind w:left="-108"/>
              <w:jc w:val="center"/>
              <w:rPr>
                <w:rFonts w:cs="Times New Roman"/>
                <w:b/>
                <w:bCs/>
                <w:color w:val="000000"/>
                <w:sz w:val="26"/>
                <w:szCs w:val="26"/>
              </w:rPr>
            </w:pPr>
            <w:r w:rsidRPr="00183174">
              <w:rPr>
                <w:rFonts w:cs="Times New Roman"/>
                <w:b/>
                <w:bCs/>
                <w:color w:val="000000"/>
                <w:sz w:val="26"/>
                <w:szCs w:val="26"/>
              </w:rPr>
              <w:t>Số lượng</w:t>
            </w:r>
          </w:p>
        </w:tc>
      </w:tr>
      <w:tr w:rsidR="00B65144" w:rsidTr="00B65144">
        <w:trPr>
          <w:trHeight w:val="3678"/>
        </w:trPr>
        <w:tc>
          <w:tcPr>
            <w:tcW w:w="267" w:type="pct"/>
            <w:vAlign w:val="center"/>
          </w:tcPr>
          <w:p w:rsidR="00B65144" w:rsidRPr="00183174" w:rsidRDefault="00B65144" w:rsidP="008742C2">
            <w:pPr>
              <w:rPr>
                <w:rFonts w:cs="Times New Roman"/>
                <w:color w:val="000000"/>
                <w:sz w:val="26"/>
                <w:szCs w:val="26"/>
              </w:rPr>
            </w:pPr>
            <w:r w:rsidRPr="00183174">
              <w:rPr>
                <w:rFonts w:cs="Times New Roman"/>
                <w:color w:val="000000"/>
                <w:sz w:val="26"/>
                <w:szCs w:val="26"/>
              </w:rPr>
              <w:t>1</w:t>
            </w:r>
          </w:p>
        </w:tc>
        <w:tc>
          <w:tcPr>
            <w:tcW w:w="3077" w:type="pct"/>
          </w:tcPr>
          <w:p w:rsidR="00B65144" w:rsidRPr="00183174" w:rsidRDefault="00B65144" w:rsidP="00B65144">
            <w:pPr>
              <w:spacing w:line="276" w:lineRule="auto"/>
              <w:rPr>
                <w:rFonts w:cs="Times New Roman"/>
                <w:b/>
                <w:sz w:val="26"/>
                <w:szCs w:val="26"/>
              </w:rPr>
            </w:pPr>
            <w:r w:rsidRPr="00183174">
              <w:rPr>
                <w:rFonts w:cs="Times New Roman"/>
                <w:b/>
                <w:sz w:val="26"/>
                <w:szCs w:val="26"/>
              </w:rPr>
              <w:t>Test nhanh Giang Mai</w:t>
            </w:r>
          </w:p>
          <w:p w:rsidR="00B65144" w:rsidRPr="00183174" w:rsidRDefault="00B65144" w:rsidP="00B65144">
            <w:pPr>
              <w:spacing w:line="276" w:lineRule="auto"/>
              <w:rPr>
                <w:rFonts w:cs="Times New Roman"/>
                <w:sz w:val="26"/>
                <w:szCs w:val="26"/>
              </w:rPr>
            </w:pPr>
            <w:r w:rsidRPr="00183174">
              <w:rPr>
                <w:rFonts w:cs="Times New Roman"/>
                <w:sz w:val="26"/>
                <w:szCs w:val="26"/>
              </w:rPr>
              <w:t>Kết quả: 5 – 20 phút</w:t>
            </w:r>
          </w:p>
          <w:p w:rsidR="00B65144" w:rsidRPr="00183174" w:rsidRDefault="00B65144" w:rsidP="00B65144">
            <w:pPr>
              <w:spacing w:line="276" w:lineRule="auto"/>
              <w:rPr>
                <w:rFonts w:cs="Times New Roman"/>
                <w:sz w:val="26"/>
                <w:szCs w:val="26"/>
              </w:rPr>
            </w:pPr>
            <w:r w:rsidRPr="00183174">
              <w:rPr>
                <w:rFonts w:cs="Times New Roman"/>
                <w:sz w:val="26"/>
                <w:szCs w:val="26"/>
              </w:rPr>
              <w:t>- Thể tích mẫu sử dụng: huyết thanh/huyết tương: 10 uL; máu toàn phần: 20uL</w:t>
            </w:r>
          </w:p>
          <w:p w:rsidR="00B65144" w:rsidRPr="00183174" w:rsidRDefault="00B65144" w:rsidP="00B65144">
            <w:pPr>
              <w:spacing w:line="276" w:lineRule="auto"/>
              <w:rPr>
                <w:rFonts w:cs="Times New Roman"/>
                <w:sz w:val="26"/>
                <w:szCs w:val="26"/>
              </w:rPr>
            </w:pPr>
            <w:r w:rsidRPr="00183174">
              <w:rPr>
                <w:rFonts w:cs="Times New Roman"/>
                <w:sz w:val="26"/>
                <w:szCs w:val="26"/>
              </w:rPr>
              <w:t>- Giới hạn phát hiện: ở ngưỡng pha loãng 256 lần của mẫu huyết thanh dương tính với giang mai</w:t>
            </w:r>
          </w:p>
          <w:p w:rsidR="00B65144" w:rsidRPr="00183174" w:rsidRDefault="00B65144" w:rsidP="00B65144">
            <w:pPr>
              <w:spacing w:line="276" w:lineRule="auto"/>
              <w:rPr>
                <w:rFonts w:cs="Times New Roman"/>
                <w:sz w:val="26"/>
                <w:szCs w:val="26"/>
              </w:rPr>
            </w:pPr>
            <w:r w:rsidRPr="00183174">
              <w:rPr>
                <w:rFonts w:cs="Times New Roman"/>
                <w:sz w:val="26"/>
                <w:szCs w:val="26"/>
              </w:rPr>
              <w:t>- Không có phản ứng chéo với các mẫu HIV, HBV, HCV, HTLV, EBV, CMV, Chlamydia, cúm, ký sinh trùng Toxoplasma, bệnh nhân ung thư, xoắn khuẩn Borrelia burgdoriferi IgG/IgM và Trypanosomiasis (T.cruzi l/ll).</w:t>
            </w:r>
          </w:p>
          <w:p w:rsidR="00B65144" w:rsidRPr="00183174" w:rsidRDefault="00B65144" w:rsidP="00B65144">
            <w:pPr>
              <w:spacing w:line="276" w:lineRule="auto"/>
              <w:rPr>
                <w:rFonts w:cs="Times New Roman"/>
                <w:sz w:val="26"/>
                <w:szCs w:val="26"/>
              </w:rPr>
            </w:pPr>
            <w:r w:rsidRPr="00183174">
              <w:rPr>
                <w:rFonts w:cs="Times New Roman"/>
                <w:sz w:val="26"/>
                <w:szCs w:val="26"/>
              </w:rPr>
              <w:t xml:space="preserve">- Kít thử hoạt động ổn định ít nhất 48 giờ sau khi mở túi nhôm. </w:t>
            </w:r>
          </w:p>
          <w:p w:rsidR="00B65144" w:rsidRPr="00183174" w:rsidRDefault="00B65144" w:rsidP="00B65144">
            <w:pPr>
              <w:spacing w:line="276" w:lineRule="auto"/>
              <w:rPr>
                <w:rFonts w:cs="Times New Roman"/>
                <w:sz w:val="26"/>
                <w:szCs w:val="26"/>
              </w:rPr>
            </w:pPr>
            <w:r w:rsidRPr="00183174">
              <w:rPr>
                <w:rFonts w:cs="Times New Roman"/>
                <w:sz w:val="26"/>
                <w:szCs w:val="26"/>
              </w:rPr>
              <w:t>- Đạt tiêu chuẩn: CE, ISO</w:t>
            </w:r>
          </w:p>
        </w:tc>
        <w:tc>
          <w:tcPr>
            <w:tcW w:w="527" w:type="pct"/>
            <w:vAlign w:val="center"/>
          </w:tcPr>
          <w:p w:rsidR="00B65144" w:rsidRPr="00183174" w:rsidRDefault="00B65144" w:rsidP="008742C2">
            <w:pPr>
              <w:jc w:val="center"/>
              <w:rPr>
                <w:rFonts w:cs="Times New Roman"/>
                <w:color w:val="000000"/>
                <w:sz w:val="26"/>
                <w:szCs w:val="26"/>
              </w:rPr>
            </w:pPr>
            <w:r w:rsidRPr="00183174">
              <w:rPr>
                <w:rFonts w:cs="Times New Roman"/>
                <w:color w:val="000000"/>
                <w:sz w:val="26"/>
                <w:szCs w:val="26"/>
              </w:rPr>
              <w:t>Hộp 30 test</w:t>
            </w:r>
          </w:p>
        </w:tc>
        <w:tc>
          <w:tcPr>
            <w:tcW w:w="575" w:type="pct"/>
            <w:vAlign w:val="center"/>
          </w:tcPr>
          <w:p w:rsidR="00B65144" w:rsidRPr="00183174" w:rsidRDefault="00B65144" w:rsidP="008742C2">
            <w:pPr>
              <w:jc w:val="center"/>
              <w:rPr>
                <w:rFonts w:cs="Times New Roman"/>
                <w:color w:val="000000"/>
                <w:sz w:val="26"/>
                <w:szCs w:val="26"/>
              </w:rPr>
            </w:pPr>
            <w:r w:rsidRPr="00183174">
              <w:rPr>
                <w:rFonts w:cs="Times New Roman"/>
                <w:color w:val="000000"/>
                <w:sz w:val="26"/>
                <w:szCs w:val="26"/>
              </w:rPr>
              <w:t>Test</w:t>
            </w:r>
          </w:p>
        </w:tc>
        <w:tc>
          <w:tcPr>
            <w:tcW w:w="554" w:type="pct"/>
            <w:vAlign w:val="center"/>
          </w:tcPr>
          <w:p w:rsidR="00B65144" w:rsidRPr="00183174" w:rsidRDefault="00B65144" w:rsidP="008742C2">
            <w:pPr>
              <w:jc w:val="center"/>
              <w:rPr>
                <w:rFonts w:cs="Times New Roman"/>
                <w:sz w:val="26"/>
                <w:szCs w:val="26"/>
              </w:rPr>
            </w:pPr>
            <w:r w:rsidRPr="00183174">
              <w:rPr>
                <w:rFonts w:cs="Times New Roman"/>
                <w:sz w:val="26"/>
                <w:szCs w:val="26"/>
              </w:rPr>
              <w:t>60</w:t>
            </w:r>
          </w:p>
        </w:tc>
      </w:tr>
    </w:tbl>
    <w:p w:rsidR="00B65144" w:rsidRDefault="00B65144" w:rsidP="00B65144">
      <w:pPr>
        <w:spacing w:before="120" w:after="100" w:afterAutospacing="1"/>
        <w:jc w:val="center"/>
        <w:rPr>
          <w:b/>
          <w:sz w:val="28"/>
          <w:szCs w:val="28"/>
        </w:rPr>
      </w:pPr>
    </w:p>
    <w:p w:rsidR="00B65144" w:rsidRDefault="00B65144">
      <w:pPr>
        <w:rPr>
          <w:b/>
          <w:sz w:val="28"/>
          <w:szCs w:val="28"/>
        </w:rPr>
      </w:pPr>
      <w:r>
        <w:rPr>
          <w:b/>
          <w:sz w:val="28"/>
          <w:szCs w:val="28"/>
        </w:rPr>
        <w:br w:type="page"/>
      </w:r>
    </w:p>
    <w:p w:rsidR="00B65144" w:rsidRDefault="00B65144" w:rsidP="00B65144">
      <w:pPr>
        <w:spacing w:before="120" w:after="100" w:afterAutospacing="1"/>
        <w:jc w:val="center"/>
        <w:rPr>
          <w:b/>
          <w:sz w:val="28"/>
          <w:szCs w:val="28"/>
        </w:rPr>
      </w:pPr>
      <w:r>
        <w:rPr>
          <w:b/>
          <w:sz w:val="28"/>
          <w:szCs w:val="28"/>
        </w:rPr>
        <w:lastRenderedPageBreak/>
        <w:t>2. Sinh phẩm xét nghiệm, nguồn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9384"/>
        <w:gridCol w:w="2228"/>
        <w:gridCol w:w="1034"/>
        <w:gridCol w:w="1145"/>
      </w:tblGrid>
      <w:tr w:rsidR="00B65144" w:rsidRPr="00183174" w:rsidTr="00B65144">
        <w:trPr>
          <w:trHeight w:val="493"/>
        </w:trPr>
        <w:tc>
          <w:tcPr>
            <w:tcW w:w="265" w:type="pct"/>
            <w:shd w:val="clear" w:color="auto" w:fill="auto"/>
            <w:noWrap/>
            <w:vAlign w:val="center"/>
            <w:hideMark/>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TT</w:t>
            </w:r>
          </w:p>
        </w:tc>
        <w:tc>
          <w:tcPr>
            <w:tcW w:w="3222" w:type="pct"/>
            <w:shd w:val="clear" w:color="auto" w:fill="auto"/>
            <w:vAlign w:val="center"/>
            <w:hideMark/>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 xml:space="preserve">Nội dung </w:t>
            </w:r>
          </w:p>
        </w:tc>
        <w:tc>
          <w:tcPr>
            <w:tcW w:w="765" w:type="pct"/>
            <w:vAlign w:val="center"/>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Quy cách</w:t>
            </w:r>
          </w:p>
        </w:tc>
        <w:tc>
          <w:tcPr>
            <w:tcW w:w="355" w:type="pct"/>
            <w:vAlign w:val="center"/>
          </w:tcPr>
          <w:p w:rsidR="00183174" w:rsidRPr="00183174" w:rsidRDefault="00183174" w:rsidP="00183174">
            <w:pPr>
              <w:spacing w:after="0"/>
              <w:jc w:val="center"/>
              <w:rPr>
                <w:rFonts w:cs="Times New Roman"/>
                <w:b/>
                <w:bCs/>
                <w:color w:val="000000"/>
                <w:sz w:val="26"/>
                <w:szCs w:val="26"/>
              </w:rPr>
            </w:pPr>
            <w:r w:rsidRPr="00183174">
              <w:rPr>
                <w:rFonts w:cs="Times New Roman"/>
                <w:b/>
                <w:bCs/>
                <w:color w:val="000000"/>
                <w:sz w:val="26"/>
                <w:szCs w:val="26"/>
              </w:rPr>
              <w:t>ĐVT</w:t>
            </w:r>
          </w:p>
        </w:tc>
        <w:tc>
          <w:tcPr>
            <w:tcW w:w="393" w:type="pct"/>
            <w:vAlign w:val="center"/>
          </w:tcPr>
          <w:p w:rsidR="00183174" w:rsidRPr="00183174" w:rsidRDefault="00183174" w:rsidP="00183174">
            <w:pPr>
              <w:spacing w:after="0"/>
              <w:ind w:left="-108"/>
              <w:jc w:val="center"/>
              <w:rPr>
                <w:rFonts w:cs="Times New Roman"/>
                <w:b/>
                <w:bCs/>
                <w:color w:val="000000"/>
                <w:sz w:val="26"/>
                <w:szCs w:val="26"/>
              </w:rPr>
            </w:pPr>
            <w:r w:rsidRPr="00183174">
              <w:rPr>
                <w:rFonts w:cs="Times New Roman"/>
                <w:b/>
                <w:bCs/>
                <w:color w:val="000000"/>
                <w:sz w:val="26"/>
                <w:szCs w:val="26"/>
              </w:rPr>
              <w:t>Số lượng</w:t>
            </w:r>
          </w:p>
        </w:tc>
      </w:tr>
      <w:tr w:rsidR="00B65144" w:rsidRPr="00183174" w:rsidTr="00B65144">
        <w:trPr>
          <w:trHeight w:val="1529"/>
        </w:trPr>
        <w:tc>
          <w:tcPr>
            <w:tcW w:w="265" w:type="pct"/>
            <w:shd w:val="clear" w:color="auto" w:fill="auto"/>
            <w:noWrap/>
            <w:vAlign w:val="center"/>
            <w:hideMark/>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1</w:t>
            </w:r>
          </w:p>
        </w:tc>
        <w:tc>
          <w:tcPr>
            <w:tcW w:w="3222" w:type="pct"/>
            <w:shd w:val="clear" w:color="auto" w:fill="auto"/>
            <w:hideMark/>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Test nước tiểu</w:t>
            </w:r>
          </w:p>
          <w:p w:rsidR="00B65144" w:rsidRPr="00183174" w:rsidRDefault="00B65144" w:rsidP="008742C2">
            <w:pPr>
              <w:spacing w:after="0"/>
              <w:rPr>
                <w:rFonts w:cs="Times New Roman"/>
                <w:sz w:val="26"/>
                <w:szCs w:val="26"/>
              </w:rPr>
            </w:pPr>
            <w:r w:rsidRPr="00183174">
              <w:rPr>
                <w:rFonts w:cs="Times New Roman"/>
                <w:sz w:val="26"/>
                <w:szCs w:val="26"/>
              </w:rPr>
              <w:t>Test dùng phân tích bán định lượng các thành phần Glucose, Bilirubin, Ketone, Specific Gravity, Blood, pH, Protein, Urobilinogen, Nitrite, Leukocytes and Ascorbic Acid in urine Sử dụng được cho máy Teco</w:t>
            </w:r>
          </w:p>
        </w:tc>
        <w:tc>
          <w:tcPr>
            <w:tcW w:w="76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Hộp 100 test</w:t>
            </w:r>
          </w:p>
        </w:tc>
        <w:tc>
          <w:tcPr>
            <w:tcW w:w="35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3.000</w:t>
            </w:r>
          </w:p>
        </w:tc>
      </w:tr>
      <w:tr w:rsidR="00B65144" w:rsidRPr="00183174" w:rsidTr="00B65144">
        <w:trPr>
          <w:trHeight w:val="1549"/>
        </w:trPr>
        <w:tc>
          <w:tcPr>
            <w:tcW w:w="265" w:type="pct"/>
            <w:shd w:val="clear" w:color="auto" w:fill="auto"/>
            <w:noWrap/>
            <w:vAlign w:val="center"/>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2</w:t>
            </w:r>
          </w:p>
        </w:tc>
        <w:tc>
          <w:tcPr>
            <w:tcW w:w="3222" w:type="pct"/>
            <w:shd w:val="clear" w:color="auto" w:fill="auto"/>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Test nhanh HAV</w:t>
            </w:r>
          </w:p>
          <w:p w:rsidR="00B65144" w:rsidRPr="00183174" w:rsidRDefault="00B65144" w:rsidP="008742C2">
            <w:pPr>
              <w:spacing w:after="0"/>
              <w:rPr>
                <w:rFonts w:cs="Times New Roman"/>
                <w:sz w:val="26"/>
                <w:szCs w:val="26"/>
              </w:rPr>
            </w:pPr>
            <w:r w:rsidRPr="00183174">
              <w:rPr>
                <w:rFonts w:cs="Times New Roman"/>
                <w:sz w:val="26"/>
                <w:szCs w:val="26"/>
              </w:rPr>
              <w:t xml:space="preserve">Test dạng cassette, thực hiện trên mẫu huyết tương hoặc huyết thanh. Phát hiện kháng thể HAV IgM. Độ nhạy: 95,2%; Độ đặc hiệu: 99,1%; Độ chính xác: 97,7%. </w:t>
            </w:r>
          </w:p>
          <w:p w:rsidR="00B65144" w:rsidRPr="00183174" w:rsidRDefault="00B65144" w:rsidP="008742C2">
            <w:pPr>
              <w:spacing w:after="0"/>
              <w:rPr>
                <w:rFonts w:cs="Times New Roman"/>
                <w:sz w:val="26"/>
                <w:szCs w:val="26"/>
              </w:rPr>
            </w:pPr>
            <w:r w:rsidRPr="00183174">
              <w:rPr>
                <w:rFonts w:cs="Times New Roman"/>
                <w:sz w:val="26"/>
                <w:szCs w:val="26"/>
              </w:rPr>
              <w:t>Tiêu chuẩ</w:t>
            </w:r>
            <w:r>
              <w:rPr>
                <w:rFonts w:cs="Times New Roman"/>
                <w:sz w:val="26"/>
                <w:szCs w:val="26"/>
              </w:rPr>
              <w:t xml:space="preserve">n CE. ISO 13485. </w:t>
            </w:r>
            <w:r w:rsidRPr="00183174">
              <w:rPr>
                <w:rFonts w:cs="Times New Roman"/>
                <w:sz w:val="26"/>
                <w:szCs w:val="26"/>
              </w:rPr>
              <w:t>Cung cấp kèm que hút mẫu.</w:t>
            </w:r>
          </w:p>
        </w:tc>
        <w:tc>
          <w:tcPr>
            <w:tcW w:w="76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Hộp 25 test</w:t>
            </w:r>
          </w:p>
        </w:tc>
        <w:tc>
          <w:tcPr>
            <w:tcW w:w="35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600</w:t>
            </w:r>
          </w:p>
        </w:tc>
      </w:tr>
      <w:tr w:rsidR="00B65144" w:rsidRPr="00183174" w:rsidTr="00B65144">
        <w:trPr>
          <w:trHeight w:val="1543"/>
        </w:trPr>
        <w:tc>
          <w:tcPr>
            <w:tcW w:w="265" w:type="pct"/>
            <w:shd w:val="clear" w:color="auto" w:fill="auto"/>
            <w:noWrap/>
            <w:vAlign w:val="center"/>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3</w:t>
            </w:r>
          </w:p>
        </w:tc>
        <w:tc>
          <w:tcPr>
            <w:tcW w:w="3222" w:type="pct"/>
            <w:shd w:val="clear" w:color="auto" w:fill="auto"/>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 xml:space="preserve">Test nhanh HEV </w:t>
            </w:r>
          </w:p>
          <w:p w:rsidR="00B65144" w:rsidRPr="00183174" w:rsidRDefault="00B65144" w:rsidP="008742C2">
            <w:pPr>
              <w:spacing w:after="0"/>
              <w:rPr>
                <w:rFonts w:cs="Times New Roman"/>
                <w:sz w:val="26"/>
                <w:szCs w:val="26"/>
              </w:rPr>
            </w:pPr>
            <w:r w:rsidRPr="00183174">
              <w:rPr>
                <w:rFonts w:cs="Times New Roman"/>
                <w:sz w:val="26"/>
                <w:szCs w:val="26"/>
              </w:rPr>
              <w:t xml:space="preserve">Test dạng cassette, thực hiện trên mẫu huyết tương hoặc huyết thanh. Phát hiện kháng thể HEV IgG/IgM. Độ nhạy: 90%; Độ đặc hiệu: 98,6%; Độ chính xác: 93,3%. </w:t>
            </w:r>
          </w:p>
          <w:p w:rsidR="00B65144" w:rsidRPr="00183174" w:rsidRDefault="00B65144" w:rsidP="008742C2">
            <w:pPr>
              <w:spacing w:after="0"/>
              <w:rPr>
                <w:rFonts w:cs="Times New Roman"/>
                <w:sz w:val="26"/>
                <w:szCs w:val="26"/>
              </w:rPr>
            </w:pPr>
            <w:r w:rsidRPr="00183174">
              <w:rPr>
                <w:rFonts w:cs="Times New Roman"/>
                <w:sz w:val="26"/>
                <w:szCs w:val="26"/>
              </w:rPr>
              <w:t>Tiêu chuẩ</w:t>
            </w:r>
            <w:r>
              <w:rPr>
                <w:rFonts w:cs="Times New Roman"/>
                <w:sz w:val="26"/>
                <w:szCs w:val="26"/>
              </w:rPr>
              <w:t xml:space="preserve">n CE. ISO 13485. </w:t>
            </w:r>
            <w:r w:rsidRPr="00183174">
              <w:rPr>
                <w:rFonts w:cs="Times New Roman"/>
                <w:sz w:val="26"/>
                <w:szCs w:val="26"/>
              </w:rPr>
              <w:t>Cung cấp kèm que hút mẫu.</w:t>
            </w:r>
          </w:p>
        </w:tc>
        <w:tc>
          <w:tcPr>
            <w:tcW w:w="76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Hộp 30 test</w:t>
            </w:r>
          </w:p>
        </w:tc>
        <w:tc>
          <w:tcPr>
            <w:tcW w:w="355" w:type="pct"/>
            <w:vAlign w:val="center"/>
          </w:tcPr>
          <w:p w:rsidR="00B65144" w:rsidRPr="00183174" w:rsidRDefault="00B65144" w:rsidP="008742C2">
            <w:pPr>
              <w:spacing w:after="0"/>
              <w:jc w:val="center"/>
              <w:rPr>
                <w:rFonts w:cs="Times New Roman"/>
                <w:color w:val="000000"/>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600</w:t>
            </w:r>
          </w:p>
        </w:tc>
      </w:tr>
      <w:tr w:rsidR="00B65144" w:rsidRPr="00183174" w:rsidTr="00B65144">
        <w:trPr>
          <w:trHeight w:val="2274"/>
        </w:trPr>
        <w:tc>
          <w:tcPr>
            <w:tcW w:w="265" w:type="pct"/>
            <w:shd w:val="clear" w:color="auto" w:fill="auto"/>
            <w:noWrap/>
            <w:vAlign w:val="center"/>
          </w:tcPr>
          <w:p w:rsidR="00B65144" w:rsidRPr="00183174" w:rsidRDefault="00B65144" w:rsidP="00183174">
            <w:pPr>
              <w:spacing w:after="0"/>
              <w:rPr>
                <w:rFonts w:cs="Times New Roman"/>
                <w:color w:val="000000"/>
                <w:sz w:val="26"/>
                <w:szCs w:val="26"/>
              </w:rPr>
            </w:pPr>
            <w:r w:rsidRPr="00183174">
              <w:rPr>
                <w:rFonts w:cs="Times New Roman"/>
                <w:color w:val="000000"/>
                <w:sz w:val="26"/>
                <w:szCs w:val="26"/>
              </w:rPr>
              <w:t>4</w:t>
            </w:r>
          </w:p>
        </w:tc>
        <w:tc>
          <w:tcPr>
            <w:tcW w:w="3222" w:type="pct"/>
            <w:shd w:val="clear" w:color="auto" w:fill="auto"/>
          </w:tcPr>
          <w:p w:rsidR="00B65144" w:rsidRPr="00183174" w:rsidRDefault="00B65144" w:rsidP="008742C2">
            <w:pPr>
              <w:spacing w:after="0"/>
              <w:rPr>
                <w:rFonts w:cs="Times New Roman"/>
                <w:b/>
                <w:color w:val="000000"/>
                <w:sz w:val="26"/>
                <w:szCs w:val="26"/>
              </w:rPr>
            </w:pPr>
            <w:r w:rsidRPr="00183174">
              <w:rPr>
                <w:rFonts w:cs="Times New Roman"/>
                <w:b/>
                <w:color w:val="000000"/>
                <w:sz w:val="26"/>
                <w:szCs w:val="26"/>
              </w:rPr>
              <w:t>Test HCV</w:t>
            </w:r>
          </w:p>
          <w:p w:rsidR="00B65144" w:rsidRPr="00183174" w:rsidRDefault="00B65144" w:rsidP="008742C2">
            <w:pPr>
              <w:spacing w:after="0"/>
              <w:rPr>
                <w:rFonts w:cs="Times New Roman"/>
                <w:sz w:val="26"/>
                <w:szCs w:val="26"/>
              </w:rPr>
            </w:pPr>
            <w:r w:rsidRPr="00183174">
              <w:rPr>
                <w:rFonts w:cs="Times New Roman"/>
                <w:sz w:val="26"/>
                <w:szCs w:val="26"/>
              </w:rPr>
              <w:t>- Loại mẫu: huyết thanh/huyết tương ( sử dụng dung dịch đệm ( buffer) cho mẫu</w:t>
            </w:r>
          </w:p>
          <w:p w:rsidR="00B65144" w:rsidRPr="00183174" w:rsidRDefault="00B65144" w:rsidP="008742C2">
            <w:pPr>
              <w:spacing w:after="0"/>
              <w:rPr>
                <w:rFonts w:cs="Times New Roman"/>
                <w:sz w:val="26"/>
                <w:szCs w:val="26"/>
              </w:rPr>
            </w:pPr>
            <w:r w:rsidRPr="00183174">
              <w:rPr>
                <w:rFonts w:cs="Times New Roman"/>
                <w:sz w:val="26"/>
                <w:szCs w:val="26"/>
              </w:rPr>
              <w:t>- Thể tích mẫu sử dụng: huyết thanh/huyết tương: 10 uL.</w:t>
            </w:r>
          </w:p>
          <w:p w:rsidR="00B65144" w:rsidRPr="00183174" w:rsidRDefault="00B65144" w:rsidP="008742C2">
            <w:pPr>
              <w:spacing w:after="0"/>
              <w:rPr>
                <w:rFonts w:cs="Times New Roman"/>
                <w:sz w:val="26"/>
                <w:szCs w:val="26"/>
              </w:rPr>
            </w:pPr>
            <w:r w:rsidRPr="00183174">
              <w:rPr>
                <w:rFonts w:cs="Times New Roman"/>
                <w:sz w:val="26"/>
                <w:szCs w:val="26"/>
              </w:rPr>
              <w:t>- Không có phản ứng chéo với các mẫu HBV, HAV, CMV, EBV, Parvovirus, VZV, Syphilis, Rubella, HTLV và HSV</w:t>
            </w:r>
          </w:p>
          <w:p w:rsidR="00B65144" w:rsidRPr="00183174" w:rsidRDefault="00B65144" w:rsidP="008742C2">
            <w:pPr>
              <w:spacing w:after="0"/>
              <w:rPr>
                <w:rFonts w:cs="Times New Roman"/>
                <w:sz w:val="26"/>
                <w:szCs w:val="26"/>
              </w:rPr>
            </w:pPr>
            <w:r w:rsidRPr="00183174">
              <w:rPr>
                <w:rFonts w:cs="Times New Roman"/>
                <w:sz w:val="26"/>
                <w:szCs w:val="26"/>
              </w:rPr>
              <w:t>- Tiêu chuẩn: ISO</w:t>
            </w:r>
          </w:p>
        </w:tc>
        <w:tc>
          <w:tcPr>
            <w:tcW w:w="765"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100 test/ hộp</w:t>
            </w:r>
          </w:p>
        </w:tc>
        <w:tc>
          <w:tcPr>
            <w:tcW w:w="355" w:type="pct"/>
            <w:vAlign w:val="center"/>
          </w:tcPr>
          <w:p w:rsidR="00B65144" w:rsidRPr="00183174" w:rsidRDefault="00B65144" w:rsidP="008742C2">
            <w:pPr>
              <w:spacing w:after="0"/>
              <w:jc w:val="center"/>
              <w:rPr>
                <w:rFonts w:cs="Times New Roman"/>
                <w:sz w:val="26"/>
                <w:szCs w:val="26"/>
              </w:rPr>
            </w:pPr>
            <w:r w:rsidRPr="00183174">
              <w:rPr>
                <w:rFonts w:cs="Times New Roman"/>
                <w:color w:val="000000"/>
                <w:sz w:val="26"/>
                <w:szCs w:val="26"/>
              </w:rPr>
              <w:t>Test</w:t>
            </w:r>
          </w:p>
        </w:tc>
        <w:tc>
          <w:tcPr>
            <w:tcW w:w="393" w:type="pct"/>
            <w:vAlign w:val="center"/>
          </w:tcPr>
          <w:p w:rsidR="00B65144" w:rsidRPr="00183174" w:rsidRDefault="00B65144" w:rsidP="008742C2">
            <w:pPr>
              <w:spacing w:after="0"/>
              <w:jc w:val="center"/>
              <w:rPr>
                <w:rFonts w:cs="Times New Roman"/>
                <w:sz w:val="26"/>
                <w:szCs w:val="26"/>
              </w:rPr>
            </w:pPr>
            <w:r w:rsidRPr="00183174">
              <w:rPr>
                <w:rFonts w:cs="Times New Roman"/>
                <w:sz w:val="26"/>
                <w:szCs w:val="26"/>
              </w:rPr>
              <w:t>100</w:t>
            </w:r>
          </w:p>
        </w:tc>
      </w:tr>
    </w:tbl>
    <w:p w:rsidR="000A6899" w:rsidRDefault="000A6899"/>
    <w:sectPr w:rsidR="000A6899" w:rsidSect="00B65144">
      <w:pgSz w:w="16840" w:h="11907" w:orient="landscape" w:code="9"/>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60C3"/>
    <w:rsid w:val="000A6899"/>
    <w:rsid w:val="00167DCE"/>
    <w:rsid w:val="00177FDE"/>
    <w:rsid w:val="00183174"/>
    <w:rsid w:val="001F61C4"/>
    <w:rsid w:val="00202A01"/>
    <w:rsid w:val="00243A17"/>
    <w:rsid w:val="00263B4A"/>
    <w:rsid w:val="002B0413"/>
    <w:rsid w:val="00347156"/>
    <w:rsid w:val="003572F5"/>
    <w:rsid w:val="003D67E7"/>
    <w:rsid w:val="0046278A"/>
    <w:rsid w:val="004A5E8C"/>
    <w:rsid w:val="004B2D4D"/>
    <w:rsid w:val="00652E9A"/>
    <w:rsid w:val="006C6227"/>
    <w:rsid w:val="007300A5"/>
    <w:rsid w:val="0081578D"/>
    <w:rsid w:val="00817E64"/>
    <w:rsid w:val="008219EC"/>
    <w:rsid w:val="00843657"/>
    <w:rsid w:val="008E2A6C"/>
    <w:rsid w:val="0094610E"/>
    <w:rsid w:val="00967107"/>
    <w:rsid w:val="00985B64"/>
    <w:rsid w:val="00A720F5"/>
    <w:rsid w:val="00AB55DA"/>
    <w:rsid w:val="00B65144"/>
    <w:rsid w:val="00B65F66"/>
    <w:rsid w:val="00B934C4"/>
    <w:rsid w:val="00C210D7"/>
    <w:rsid w:val="00C33146"/>
    <w:rsid w:val="00CF52FD"/>
    <w:rsid w:val="00D63B0F"/>
    <w:rsid w:val="00DC428E"/>
    <w:rsid w:val="00E33B65"/>
    <w:rsid w:val="00E63405"/>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C681"/>
  <w15:docId w15:val="{2FCAE797-F4B8-4916-9F84-85392042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table" w:styleId="TableGrid">
    <w:name w:val="Table Grid"/>
    <w:basedOn w:val="TableNormal"/>
    <w:uiPriority w:val="59"/>
    <w:rsid w:val="00167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 w:id="988091526">
      <w:bodyDiv w:val="1"/>
      <w:marLeft w:val="0"/>
      <w:marRight w:val="0"/>
      <w:marTop w:val="0"/>
      <w:marBottom w:val="0"/>
      <w:divBdr>
        <w:top w:val="none" w:sz="0" w:space="0" w:color="auto"/>
        <w:left w:val="none" w:sz="0" w:space="0" w:color="auto"/>
        <w:bottom w:val="none" w:sz="0" w:space="0" w:color="auto"/>
        <w:right w:val="none" w:sz="0" w:space="0" w:color="auto"/>
      </w:divBdr>
    </w:div>
    <w:div w:id="11111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432E9-2DE3-42BD-A6AC-902A9C21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cp:lastModifiedBy>
  <cp:revision>4</cp:revision>
  <cp:lastPrinted>2024-05-03T04:05:00Z</cp:lastPrinted>
  <dcterms:created xsi:type="dcterms:W3CDTF">2024-05-03T08:18:00Z</dcterms:created>
  <dcterms:modified xsi:type="dcterms:W3CDTF">2024-05-03T08:20:00Z</dcterms:modified>
</cp:coreProperties>
</file>